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numPr>
          <w:ilvl w:val="0"/>
          <w:numId w:val="0"/>
        </w:numPr>
        <w:spacing w:lineRule="exact" w:line="600"/>
        <w:rPr>
          <w:rFonts w:ascii="方正公文小标宋" w:cs="方正公文小标宋" w:eastAsia="方正公文小标宋" w:hAnsi="方正公文小标宋" w:hint="eastAsia"/>
          <w:sz w:val="32"/>
          <w:szCs w:val="32"/>
          <w:lang w:val="en-US" w:eastAsia="zh-CN"/>
        </w:rPr>
      </w:pPr>
      <w:r>
        <w:rPr>
          <w:rFonts w:ascii="楷体" w:cs="楷体" w:eastAsia="楷体" w:hAnsi="楷体" w:hint="eastAsia"/>
          <w:sz w:val="32"/>
          <w:szCs w:val="32"/>
          <w:lang w:val="en-US" w:eastAsia="zh-CN"/>
        </w:rPr>
        <w:t xml:space="preserve">附件4：            </w:t>
      </w:r>
      <w:r>
        <w:rPr>
          <w:rFonts w:ascii="方正公文小标宋" w:cs="方正公文小标宋" w:eastAsia="方正公文小标宋" w:hAnsi="方正公文小标宋" w:hint="eastAsia"/>
          <w:sz w:val="32"/>
          <w:szCs w:val="32"/>
          <w:lang w:val="en-US" w:eastAsia="zh-CN"/>
        </w:rPr>
        <w:t>自选主题方向</w:t>
      </w:r>
    </w:p>
    <w:p>
      <w:pPr>
        <w:pStyle w:val="style0"/>
        <w:numPr>
          <w:ilvl w:val="0"/>
          <w:numId w:val="0"/>
        </w:numPr>
        <w:spacing w:lineRule="exact" w:line="600"/>
        <w:ind w:firstLine="420" w:firstLineChars="0"/>
        <w:rPr>
          <w:rFonts w:ascii="楷体" w:cs="楷体" w:eastAsia="楷体" w:hAnsi="楷体" w:hint="eastAsia"/>
          <w:sz w:val="32"/>
          <w:szCs w:val="32"/>
          <w:lang w:val="en-US" w:eastAsia="zh-CN"/>
        </w:rPr>
      </w:pPr>
    </w:p>
    <w:p>
      <w:pPr>
        <w:pStyle w:val="style0"/>
        <w:numPr>
          <w:ilvl w:val="0"/>
          <w:numId w:val="0"/>
        </w:numPr>
        <w:spacing w:lineRule="exact" w:line="600"/>
        <w:ind w:firstLine="643" w:firstLineChars="200"/>
        <w:rPr>
          <w:rFonts w:ascii="Times New Roman" w:cs="仿宋_GB2312" w:eastAsia="仿宋_GB2312" w:hAnsi="Times New Roman" w:hint="default"/>
          <w:b/>
          <w:bCs/>
          <w:sz w:val="32"/>
          <w:szCs w:val="32"/>
          <w:lang w:val="en-US" w:eastAsia="zh-CN"/>
        </w:rPr>
      </w:pPr>
      <w:r>
        <w:rPr>
          <w:rFonts w:ascii="Times New Roman" w:cs="仿宋_GB2312" w:eastAsia="仿宋_GB2312" w:hAnsi="Times New Roman" w:hint="eastAsia"/>
          <w:b/>
          <w:bCs/>
          <w:sz w:val="32"/>
          <w:szCs w:val="32"/>
          <w:lang w:val="en-US" w:eastAsia="zh-CN"/>
        </w:rPr>
        <w:t>1.</w:t>
      </w:r>
      <w:r>
        <w:rPr>
          <w:rFonts w:ascii="Times New Roman" w:cs="仿宋_GB2312" w:eastAsia="仿宋_GB2312" w:hAnsi="Times New Roman" w:hint="default"/>
          <w:b/>
          <w:bCs/>
          <w:sz w:val="32"/>
          <w:szCs w:val="32"/>
          <w:lang w:val="en-US" w:eastAsia="zh-CN"/>
        </w:rPr>
        <w:t>“学习新思想”专题行动</w:t>
      </w:r>
    </w:p>
    <w:p>
      <w:pPr>
        <w:pStyle w:val="style0"/>
        <w:numPr>
          <w:ilvl w:val="0"/>
          <w:numId w:val="0"/>
        </w:numPr>
        <w:spacing w:lineRule="exact" w:line="600"/>
        <w:ind w:left="0" w:leftChars="0" w:firstLine="640" w:firstLineChars="200"/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</w:pP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1）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  <w:t>围绕深入学习宣传贯彻党的二十大会议精神，全面落实“学习习近平新时代中国特色社会主义思想”主题教育总要求，引导学生在社会观察、国情考察、基层治理参与、特色产业调研、学习成果宣讲中形成正确认识，坚定理想信念，站稳人民立场，投身强国伟业。</w:t>
      </w:r>
    </w:p>
    <w:p>
      <w:pPr>
        <w:pStyle w:val="style0"/>
        <w:numPr>
          <w:ilvl w:val="0"/>
          <w:numId w:val="0"/>
        </w:numPr>
        <w:spacing w:lineRule="exact" w:line="600"/>
        <w:ind w:left="0" w:leftChars="0" w:firstLine="640" w:firstLineChars="200"/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</w:pP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2）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  <w:t>“赓续红色基因”实践活动。鼓励学生充分利用各地红色革命文化资源，开展重走红色足迹、追溯红色记忆、访谈红色人物、挖掘红色故事、体悟红色文化等多种形式的活动，以创作党史学习教育微团课、宣讲党史小故事等方式，感受井冈山精神、长征精神、延安精神等党在不同历史时期的精神伟力，赓续共产党人精神血脉，担当时代责任。</w:t>
      </w:r>
    </w:p>
    <w:p>
      <w:pPr>
        <w:pStyle w:val="style0"/>
        <w:numPr>
          <w:ilvl w:val="0"/>
          <w:numId w:val="0"/>
        </w:numPr>
        <w:spacing w:lineRule="exact" w:line="600"/>
        <w:ind w:firstLine="643" w:firstLineChars="200"/>
        <w:rPr>
          <w:rFonts w:ascii="Times New Roman" w:cs="仿宋_GB2312" w:eastAsia="仿宋_GB2312" w:hAnsi="Times New Roman" w:hint="default"/>
          <w:b/>
          <w:bCs/>
          <w:sz w:val="32"/>
          <w:szCs w:val="32"/>
          <w:lang w:val="en-US" w:eastAsia="zh-CN"/>
        </w:rPr>
      </w:pPr>
      <w:r>
        <w:rPr>
          <w:rFonts w:ascii="Times New Roman" w:cs="仿宋_GB2312" w:eastAsia="仿宋_GB2312" w:hAnsi="Times New Roman" w:hint="eastAsia"/>
          <w:b/>
          <w:bCs/>
          <w:sz w:val="32"/>
          <w:szCs w:val="32"/>
          <w:lang w:val="en-US" w:eastAsia="zh-CN"/>
        </w:rPr>
        <w:t>2.</w:t>
      </w:r>
      <w:r>
        <w:rPr>
          <w:rFonts w:ascii="Times New Roman" w:cs="仿宋_GB2312" w:eastAsia="仿宋_GB2312" w:hAnsi="Times New Roman" w:hint="default"/>
          <w:b/>
          <w:bCs/>
          <w:sz w:val="32"/>
          <w:szCs w:val="32"/>
          <w:lang w:val="en-US" w:eastAsia="zh-CN"/>
        </w:rPr>
        <w:t>“服务新战略”专题行动</w:t>
      </w:r>
    </w:p>
    <w:p>
      <w:pPr>
        <w:pStyle w:val="style0"/>
        <w:numPr>
          <w:ilvl w:val="0"/>
          <w:numId w:val="0"/>
        </w:numPr>
        <w:spacing w:lineRule="exact" w:line="600"/>
        <w:ind w:left="0" w:leftChars="0" w:firstLine="640" w:firstLineChars="200"/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</w:pP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1）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  <w:t>“科技强国”实践活动。鼓励学生面向世界科技前沿、面向经济主战场、面向国家重大战略需求，为加快推动世界科技强国建设目标，实现高水平科技自立自强，围绕破解“卡脖子”难题，在关键核心技术领域开展创新攻关，培育“青创报国”情怀，提升科技创新能力。</w:t>
      </w: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例如：可以围绕生物企业开展实践活动，苏州生物园、北京亦庄生物医药基地等。</w:t>
      </w:r>
    </w:p>
    <w:p>
      <w:pPr>
        <w:pStyle w:val="style0"/>
        <w:numPr>
          <w:ilvl w:val="0"/>
          <w:numId w:val="0"/>
        </w:numPr>
        <w:spacing w:lineRule="exact" w:line="600"/>
        <w:ind w:left="0" w:leftChars="0" w:firstLine="640" w:firstLineChars="200"/>
        <w:rPr>
          <w:rFonts w:ascii="楷体" w:cs="楷体" w:eastAsia="楷体" w:hAnsi="楷体" w:hint="default"/>
          <w:sz w:val="32"/>
          <w:szCs w:val="32"/>
          <w:highlight w:val="yellow"/>
          <w:lang w:val="en-US" w:eastAsia="zh-CN"/>
        </w:rPr>
      </w:pP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2）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  <w:t>“美丽中国”实践活动。聚焦生态文明建设和环境保护，围绕节能减排、环境污染、水资源保护等内容，开展生态科考、科普宣讲、社会调研、发展献策等活动，进行全方位的调研及科普环保知识，宣传“绿水青山就是金山银山”的绿色发展理念，助力实现“双碳”目标。</w:t>
      </w: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highlight w:val="yellow"/>
          <w:lang w:val="en-US" w:bidi="ar-SA" w:eastAsia="zh-CN"/>
        </w:rPr>
        <w:t>例如：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highlight w:val="yellow"/>
          <w:lang w:val="en-US" w:bidi="ar-SA" w:eastAsia="zh-CN"/>
        </w:rPr>
        <w:t>1</w:t>
      </w: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highlight w:val="yellow"/>
          <w:lang w:val="en-US" w:bidi="ar-SA" w:eastAsia="zh-CN"/>
        </w:rPr>
        <w:t>、国家公园原住民与生态保护和民生改善调研；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highlight w:val="yellow"/>
          <w:lang w:val="en-US" w:bidi="ar-SA" w:eastAsia="zh-CN"/>
        </w:rPr>
        <w:t>2</w:t>
      </w: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highlight w:val="yellow"/>
          <w:lang w:val="en-US" w:bidi="ar-SA" w:eastAsia="zh-CN"/>
        </w:rPr>
        <w:t>、浙江乌岩岭国家自然保护区实践调研。</w:t>
      </w:r>
    </w:p>
    <w:p>
      <w:pPr>
        <w:pStyle w:val="style0"/>
        <w:numPr>
          <w:ilvl w:val="0"/>
          <w:numId w:val="0"/>
        </w:numPr>
        <w:spacing w:lineRule="exact" w:line="600"/>
        <w:ind w:firstLine="643" w:firstLineChars="200"/>
        <w:rPr>
          <w:rFonts w:ascii="Times New Roman" w:cs="仿宋_GB2312" w:eastAsia="仿宋_GB2312" w:hAnsi="Times New Roman" w:hint="default"/>
          <w:b/>
          <w:bCs/>
          <w:sz w:val="32"/>
          <w:szCs w:val="32"/>
          <w:lang w:val="en-US" w:eastAsia="zh-CN"/>
        </w:rPr>
      </w:pPr>
      <w:r>
        <w:rPr>
          <w:rFonts w:ascii="Times New Roman" w:cs="仿宋_GB2312" w:eastAsia="仿宋_GB2312" w:hAnsi="Times New Roman" w:hint="eastAsia"/>
          <w:b/>
          <w:bCs/>
          <w:sz w:val="32"/>
          <w:szCs w:val="32"/>
          <w:lang w:val="en-US" w:eastAsia="zh-CN"/>
        </w:rPr>
        <w:t>3.</w:t>
      </w:r>
      <w:r>
        <w:rPr>
          <w:rFonts w:ascii="Times New Roman" w:cs="仿宋_GB2312" w:eastAsia="仿宋_GB2312" w:hAnsi="Times New Roman" w:hint="default"/>
          <w:b/>
          <w:bCs/>
          <w:sz w:val="32"/>
          <w:szCs w:val="32"/>
          <w:lang w:val="en-US" w:eastAsia="zh-CN"/>
        </w:rPr>
        <w:t>“振兴新农村”专题行动</w:t>
      </w:r>
    </w:p>
    <w:p>
      <w:pPr>
        <w:pStyle w:val="style0"/>
        <w:numPr>
          <w:ilvl w:val="0"/>
          <w:numId w:val="0"/>
        </w:numPr>
        <w:spacing w:lineRule="exact" w:line="600"/>
        <w:ind w:left="0" w:leftChars="0" w:firstLine="640" w:firstLineChars="200"/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highlight w:val="yellow"/>
          <w:lang w:val="en-US" w:bidi="ar-SA" w:eastAsia="zh-CN"/>
        </w:rPr>
      </w:pP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1）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  <w:t>“三下乡”实践活动。立足北京生物多样性之都建设，围绕实施乡村振兴战略，在生物多样性保护、农林牧渔、旅游休闲、城乡融合等领域，结合实践调研，设计项目方案。鼓励同学立足广大乡村，围绕生态学和生物学主题开展实践，利用专业知识为乡村发展赋能。</w:t>
      </w: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highlight w:val="yellow"/>
          <w:lang w:val="en-US" w:bidi="ar-SA" w:eastAsia="zh-CN"/>
        </w:rPr>
        <w:t>例如：密云区“鸟类监测平台”、“声纹监测平台”、“生物多样性数据平台”数据库建设研究；密云区观鸟经济调查研究；2.密云区科普基地建设及效果调查调研。</w:t>
      </w:r>
      <w:bookmarkStart w:id="0" w:name="_GoBack"/>
      <w:bookmarkEnd w:id="0"/>
    </w:p>
    <w:p>
      <w:pPr>
        <w:pStyle w:val="style0"/>
        <w:numPr>
          <w:ilvl w:val="0"/>
          <w:numId w:val="0"/>
        </w:numPr>
        <w:spacing w:lineRule="exact" w:line="600"/>
        <w:ind w:left="0" w:leftChars="0" w:firstLine="640" w:firstLineChars="200"/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</w:pP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2）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  <w:t>“乡村支教”实践活动。鼓励学生组建团队到家乡所在地的乡村，协助当地教育部门开展学生培训，帮助当地优化教育资源、提升教学质量，将优质教育资源送进基层。以关爱留守儿童为重点，开展爱国主义教育、素质拓展教育、科普知识教育、心理卫生教育等支教活动，点亮农村留守儿童假期生活，通过“扶智+扶志”为新农村建设装载长久内生动力。</w:t>
      </w:r>
    </w:p>
    <w:p>
      <w:pPr>
        <w:pStyle w:val="style0"/>
        <w:numPr>
          <w:ilvl w:val="0"/>
          <w:numId w:val="0"/>
        </w:numPr>
        <w:spacing w:lineRule="exact" w:line="600"/>
        <w:ind w:firstLine="643" w:firstLineChars="200"/>
        <w:rPr>
          <w:rFonts w:ascii="Times New Roman" w:cs="仿宋_GB2312" w:eastAsia="仿宋_GB2312" w:hAnsi="Times New Roman" w:hint="default"/>
          <w:b/>
          <w:bCs/>
          <w:sz w:val="32"/>
          <w:szCs w:val="32"/>
          <w:lang w:val="en-US" w:eastAsia="zh-CN"/>
        </w:rPr>
      </w:pPr>
      <w:r>
        <w:rPr>
          <w:rFonts w:ascii="Times New Roman" w:cs="仿宋_GB2312" w:eastAsia="仿宋_GB2312" w:hAnsi="Times New Roman" w:hint="eastAsia"/>
          <w:b/>
          <w:bCs/>
          <w:sz w:val="32"/>
          <w:szCs w:val="32"/>
          <w:lang w:val="en-US" w:eastAsia="zh-CN"/>
        </w:rPr>
        <w:t>4.</w:t>
      </w:r>
      <w:r>
        <w:rPr>
          <w:rFonts w:ascii="Times New Roman" w:cs="仿宋_GB2312" w:eastAsia="仿宋_GB2312" w:hAnsi="Times New Roman" w:hint="default"/>
          <w:b/>
          <w:bCs/>
          <w:sz w:val="32"/>
          <w:szCs w:val="32"/>
          <w:lang w:val="en-US" w:eastAsia="zh-CN"/>
        </w:rPr>
        <w:t>“志愿新青年”专题行动</w:t>
      </w:r>
    </w:p>
    <w:p>
      <w:pPr>
        <w:pStyle w:val="style0"/>
        <w:numPr>
          <w:ilvl w:val="0"/>
          <w:numId w:val="0"/>
        </w:numPr>
        <w:spacing w:lineRule="exact" w:line="600"/>
        <w:ind w:left="0" w:leftChars="0" w:firstLine="640" w:firstLineChars="200"/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</w:pP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1）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  <w:t>“公益服务”实践活动。聚焦困境儿童、留守儿童、残障人士等特殊人群，深入了解群体现状，思考公益内涵，把握需求痛点，提供服务关怀，开展公益实践。重点开展青年志愿者“社区行动”，鼓励学生发挥专业特长，积极参与垃圾分类、社区工作、街巷治理、“光盘行动”等公益劳动实践。以社区为主场景，组织引导青年志愿者组织化、常态化参与留守儿童“关爱行动”、助残“阳光行动”、助老“金晖行动”等志愿服务重点项目。</w:t>
      </w:r>
    </w:p>
    <w:p>
      <w:pPr>
        <w:pStyle w:val="style0"/>
        <w:numPr>
          <w:ilvl w:val="0"/>
          <w:numId w:val="0"/>
        </w:numPr>
        <w:spacing w:lineRule="exact" w:line="600"/>
        <w:ind w:firstLine="640" w:firstLineChars="200"/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</w:pPr>
      <w:r>
        <w:rPr>
          <w:rFonts w:ascii="Times New Roman" w:cs="仿宋_GB2312" w:eastAsia="仿宋_GB2312" w:hAnsi="Times New Roman" w:hint="eastAsia"/>
          <w:color w:val="000000"/>
          <w:kern w:val="2"/>
          <w:sz w:val="32"/>
          <w:szCs w:val="32"/>
          <w:lang w:val="en-US" w:bidi="ar-SA" w:eastAsia="zh-CN"/>
        </w:rPr>
        <w:t>2）</w:t>
      </w:r>
      <w:r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  <w:t>“走访校友”实践活动。鼓励学生开展校友访谈实践活动，以访谈、参观、实习、微视频寄语等多种方式，深入了解校友所在行业的情况，充分发掘优秀校友先进事迹，广泛汇集在党的领导下共青团引领校友成长的感人故事，凝聚校友力量，激发校友育人功能，激励青年学生学习榜样、宣传榜样、争做榜样。</w:t>
      </w:r>
    </w:p>
    <w:p>
      <w:pPr>
        <w:pStyle w:val="style0"/>
        <w:numPr>
          <w:ilvl w:val="0"/>
          <w:numId w:val="0"/>
        </w:numPr>
        <w:spacing w:lineRule="exact" w:line="600"/>
        <w:ind w:left="0" w:leftChars="0" w:firstLine="640" w:firstLineChars="200"/>
        <w:rPr>
          <w:rFonts w:ascii="Times New Roman" w:cs="仿宋_GB2312" w:eastAsia="仿宋_GB2312" w:hAnsi="Times New Roman" w:hint="default"/>
          <w:color w:val="000000"/>
          <w:kern w:val="2"/>
          <w:sz w:val="32"/>
          <w:szCs w:val="32"/>
          <w:lang w:val="en-US" w:bidi="ar-SA" w:eastAsia="zh-CN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等线" w:eastAsia="等线" w:hAnsi="等线"/>
      <w:color w:val="000000"/>
      <w:kern w:val="2"/>
      <w:sz w:val="24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1333</Words>
  <Pages>1</Pages>
  <Characters>1342</Characters>
  <Application>WPS Office</Application>
  <DocSecurity>0</DocSecurity>
  <Paragraphs>16</Paragraphs>
  <ScaleCrop>false</ScaleCrop>
  <LinksUpToDate>false</LinksUpToDate>
  <CharactersWithSpaces>1354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2024-05-15T03:31:00Z</dcterms:created>
  <dc:creator>尹佩佩</dc:creator>
  <lastModifiedBy>PGT-AN00</lastModifiedBy>
  <dcterms:modified xsi:type="dcterms:W3CDTF">2024-05-17T09:07:23Z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b864a34cc3714a8f8c661651e93667e9_23</vt:lpwstr>
  </property>
</Properties>
</file>